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Acting Safe in Hanwell:  Playing games.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Here the children were playing the 5 second object game. I called out a shape / situation in relation to keeping safe, they used their bodies to create that shape.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They worked in different groups, strengthening team bonds, and warmed their bodies and minds to the theme of the day.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1343025</wp:posOffset>
            </wp:positionH>
            <wp:positionV relativeFrom="paragraph">
              <wp:posOffset>972021</wp:posOffset>
            </wp:positionV>
            <wp:extent cx="2763929" cy="37957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3929" cy="3795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